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Calibri" w:cs="Calibri" w:eastAsia="Calibri" w:hAnsi="Calibri"/>
          <w:b/>
          <w:bCs/>
          <w:color w:val="B8894A"/>
          <w:spacing w:val="60"/>
          <w:sz w:val="16"/>
          <w:szCs w:val="16"/>
        </w:rPr>
        <w:t xml:space="preserve">WEEKLY EXEC DECISIONS · PRE-READ · CONFIDENTIAL</w:t>
      </w:r>
    </w:p>
    <w:p>
      <w:pPr>
        <w:spacing w:after="100" w:before="0"/>
      </w:pPr>
      <w:r>
        <w:rPr>
          <w:rFonts w:ascii="Cambria" w:cs="Cambria" w:eastAsia="Cambria" w:hAnsi="Cambria"/>
          <w:b/>
          <w:bCs/>
          <w:color w:val="1E2761"/>
          <w:sz w:val="40"/>
          <w:szCs w:val="40"/>
        </w:rPr>
        <w:t xml:space="preserve">Project North Star, Decisions for Monday</w:t>
      </w:r>
    </w:p>
    <w:p>
      <w:pPr>
        <w:spacing w:after="60" w:before="0"/>
      </w:pPr>
      <w:r>
        <w:rPr>
          <w:rFonts w:ascii="Calibri" w:cs="Calibri" w:eastAsia="Calibri" w:hAnsi="Calibri"/>
          <w:b/>
          <w:bCs/>
          <w:color w:val="6B7280"/>
          <w:sz w:val="20"/>
          <w:szCs w:val="20"/>
        </w:rPr>
        <w:t xml:space="preserve">From: </w:t>
      </w:r>
      <w:r>
        <w:rPr>
          <w:rFonts w:ascii="Calibri" w:cs="Calibri" w:eastAsia="Calibri" w:hAnsi="Calibri"/>
          <w:color w:val="1A1A1A"/>
          <w:sz w:val="20"/>
          <w:szCs w:val="20"/>
        </w:rPr>
        <w:t xml:space="preserve">Transformation Management Office     </w:t>
      </w:r>
      <w:r>
        <w:rPr>
          <w:rFonts w:ascii="Calibri" w:cs="Calibri" w:eastAsia="Calibri" w:hAnsi="Calibri"/>
          <w:b/>
          <w:bCs/>
          <w:color w:val="6B7280"/>
          <w:sz w:val="20"/>
          <w:szCs w:val="20"/>
        </w:rPr>
        <w:t xml:space="preserve">To: </w:t>
      </w:r>
      <w:r>
        <w:rPr>
          <w:rFonts w:ascii="Calibri" w:cs="Calibri" w:eastAsia="Calibri" w:hAnsi="Calibri"/>
          <w:color w:val="1A1A1A"/>
          <w:sz w:val="20"/>
          <w:szCs w:val="20"/>
        </w:rPr>
        <w:t xml:space="preserve">Executive Committee     </w:t>
      </w:r>
      <w:r>
        <w:rPr>
          <w:rFonts w:ascii="Calibri" w:cs="Calibri" w:eastAsia="Calibri" w:hAnsi="Calibri"/>
          <w:b/>
          <w:bCs/>
          <w:color w:val="6B7280"/>
          <w:sz w:val="20"/>
          <w:szCs w:val="20"/>
        </w:rPr>
        <w:t xml:space="preserve">Read time: </w:t>
      </w:r>
      <w:r>
        <w:rPr>
          <w:rFonts w:ascii="Calibri" w:cs="Calibri" w:eastAsia="Calibri" w:hAnsi="Calibri"/>
          <w:color w:val="1A1A1A"/>
          <w:sz w:val="20"/>
          <w:szCs w:val="20"/>
        </w:rPr>
        <w:t xml:space="preserve">4 minutes</w:t>
      </w:r>
    </w:p>
    <w:p>
      <w:pPr>
        <w:spacing w:after="100" w:before="0"/>
      </w:pPr>
      <w:r>
        <w:rPr>
          <w:rFonts w:ascii="Calibri" w:cs="Calibri" w:eastAsia="Calibri" w:hAnsi="Calibri"/>
          <w:b/>
          <w:bCs/>
          <w:color w:val="6B7280"/>
          <w:sz w:val="20"/>
          <w:szCs w:val="20"/>
        </w:rPr>
        <w:t xml:space="preserve">Sent: </w:t>
      </w:r>
      <w:r>
        <w:rPr>
          <w:rFonts w:ascii="Calibri" w:cs="Calibri" w:eastAsia="Calibri" w:hAnsi="Calibri"/>
          <w:color w:val="1A1A1A"/>
          <w:sz w:val="20"/>
          <w:szCs w:val="20"/>
        </w:rPr>
        <w:t xml:space="preserve">Friday, 17 October 2026, 08:00 ET     </w:t>
      </w:r>
      <w:r>
        <w:rPr>
          <w:rFonts w:ascii="Calibri" w:cs="Calibri" w:eastAsia="Calibri" w:hAnsi="Calibri"/>
          <w:b/>
          <w:bCs/>
          <w:color w:val="6B7280"/>
          <w:sz w:val="20"/>
          <w:szCs w:val="20"/>
        </w:rPr>
        <w:t xml:space="preserve">For discussion: </w:t>
      </w:r>
      <w:r>
        <w:rPr>
          <w:rFonts w:ascii="Calibri" w:cs="Calibri" w:eastAsia="Calibri" w:hAnsi="Calibri"/>
          <w:color w:val="1A1A1A"/>
          <w:sz w:val="20"/>
          <w:szCs w:val="20"/>
        </w:rPr>
        <w:t xml:space="preserve">Monday, 20 October, 09:00 ET WED</w:t>
      </w:r>
    </w:p>
    <w:p>
      <w:pPr>
        <w:pBdr>
          <w:bottom w:val="single" w:color="B8894A" w:sz="6" w:space="4"/>
        </w:pBdr>
        <w:spacing w:after="200" w:before="60"/>
      </w:pPr>
      <w:r>
        <w:t xml:space="preserve"/>
      </w:r>
    </w:p>
    <w:p>
      <w:pPr>
        <w:spacing w:after="60" w:before="240"/>
      </w:pPr>
      <w:r>
        <w:rPr>
          <w:rFonts w:ascii="Calibri" w:cs="Calibri" w:eastAsia="Calibri" w:hAnsi="Calibri"/>
          <w:b/>
          <w:bCs/>
          <w:color w:val="B8894A"/>
          <w:spacing w:val="40"/>
          <w:sz w:val="16"/>
          <w:szCs w:val="16"/>
        </w:rPr>
        <w:t xml:space="preserve">DECISIONS REQUESTED MONDAY</w:t>
      </w:r>
    </w:p>
    <w:p>
      <w:pPr>
        <w:spacing w:after="200" w:before="0" w:line="300"/>
      </w:pPr>
      <w:r>
        <w:rPr>
          <w:rFonts w:ascii="Calibri" w:cs="Calibri" w:eastAsia="Calibri" w:hAnsi="Calibri"/>
          <w:color w:val="1A1A1A"/>
          <w:sz w:val="22"/>
          <w:szCs w:val="22"/>
        </w:rPr>
        <w:t xml:space="preserve">Three decisions on the agenda. Recommended sequence: D-14 first (5 min, low-friction), then D-15 (10 min, the hard one), then D-16 (5 min, acknowledgement).</w:t>
      </w:r>
    </w:p>
    <w:tbl>
      <w:tblPr>
        <w:tblW w:type="dxa" w:w="9360"/>
        <w:tblBorders>
          <w:top w:val="none"/>
          <w:left w:val="none"/>
          <w:bottom w:val="none"/>
          <w:right w:val="none"/>
          <w:insideH w:val="single" w:color="FDFCF7" w:sz="12"/>
          <w:insideV w:val="none"/>
        </w:tblBorders>
      </w:tblPr>
      <w:tblGrid>
        <w:gridCol w:w="800"/>
        <w:gridCol w:w="6800"/>
        <w:gridCol w:w="1560"/>
      </w:tblGrid>
      <w:tr>
        <w:tc>
          <w:tcPr>
            <w:tcW w:type="dxa" w:w="800"/>
            <w:tcBorders>
              <w:top w:val="none"/>
              <w:left w:val="single" w:color="B8894A" w:sz="24"/>
              <w:bottom w:val="none"/>
              <w:right w:val="none"/>
            </w:tcBorders>
            <w:shd w:fill="F5F0E0" w:color="auto" w:val="clear"/>
            <w:tcMar>
              <w:top w:type="dxa" w:w="120"/>
              <w:left w:type="dxa" w:w="200"/>
              <w:bottom w:type="dxa" w:w="120"/>
              <w:right w:type="dxa" w:w="100"/>
            </w:tcMar>
          </w:tcPr>
          <w:p>
            <w:pPr>
              <w:spacing w:after="0" w:before="0"/>
            </w:pPr>
            <w:r>
              <w:rPr>
                <w:rFonts w:ascii="Calibri" w:cs="Calibri" w:eastAsia="Calibri" w:hAnsi="Calibri"/>
                <w:b/>
                <w:bCs/>
                <w:color w:val="1E2761"/>
                <w:sz w:val="24"/>
                <w:szCs w:val="24"/>
              </w:rPr>
              <w:t xml:space="preserve">D-14</w:t>
            </w:r>
          </w:p>
        </w:tc>
        <w:tc>
          <w:tcPr>
            <w:tcW w:type="dxa" w:w="6800"/>
            <w:tcBorders>
              <w:top w:val="none"/>
              <w:left w:val="none"/>
              <w:bottom w:val="none"/>
              <w:right w:val="none"/>
            </w:tcBorders>
            <w:shd w:fill="F5F0E0" w:color="auto" w:val="clear"/>
            <w:tcMar>
              <w:top w:type="dxa" w:w="120"/>
              <w:left w:type="dxa" w:w="100"/>
              <w:bottom w:type="dxa" w:w="120"/>
              <w:right w:type="dxa" w:w="100"/>
            </w:tcMar>
          </w:tcPr>
          <w:p>
            <w:pPr>
              <w:spacing w:after="0" w:before="0"/>
            </w:pPr>
            <w:r>
              <w:rPr>
                <w:rFonts w:ascii="Calibri" w:cs="Calibri" w:eastAsia="Calibri" w:hAnsi="Calibri"/>
                <w:color w:val="1A1A1A"/>
                <w:sz w:val="22"/>
                <w:szCs w:val="22"/>
              </w:rPr>
              <w:t xml:space="preserve">Approve $4.2M scope expansion for rural connectivity in Wave 1.</w:t>
            </w:r>
          </w:p>
        </w:tc>
        <w:tc>
          <w:tcPr>
            <w:tcW w:type="dxa" w:w="1560"/>
            <w:tcBorders>
              <w:top w:val="none"/>
              <w:left w:val="none"/>
              <w:bottom w:val="none"/>
              <w:right w:val="none"/>
            </w:tcBorders>
            <w:shd w:fill="F5F0E0" w:color="auto" w:val="clear"/>
            <w:tcMar>
              <w:top w:type="dxa" w:w="120"/>
              <w:left w:type="dxa" w:w="100"/>
              <w:bottom w:type="dxa" w:w="120"/>
              <w:right w:type="dxa" w:w="200"/>
            </w:tcMar>
          </w:tcPr>
          <w:p>
            <w:pPr>
              <w:spacing w:after="20" w:before="0"/>
            </w:pPr>
            <w:r>
              <w:rPr>
                <w:rFonts w:ascii="Calibri" w:cs="Calibri" w:eastAsia="Calibri" w:hAnsi="Calibri"/>
                <w:b/>
                <w:bCs/>
                <w:color w:val="1E2761"/>
                <w:sz w:val="18"/>
                <w:szCs w:val="18"/>
              </w:rPr>
              <w:t xml:space="preserve">SVP Ops</w:t>
            </w:r>
          </w:p>
          <w:p>
            <w:pPr>
              <w:spacing w:after="0" w:before="0"/>
            </w:pPr>
            <w:r>
              <w:rPr>
                <w:rFonts w:ascii="Calibri" w:cs="Calibri" w:eastAsia="Calibri" w:hAnsi="Calibri"/>
                <w:i/>
                <w:iCs/>
                <w:color w:val="6B7280"/>
                <w:sz w:val="16"/>
                <w:szCs w:val="16"/>
              </w:rPr>
              <w:t xml:space="preserve">5 min</w:t>
            </w:r>
          </w:p>
        </w:tc>
      </w:tr>
      <w:tr>
        <w:tc>
          <w:tcPr>
            <w:tcW w:type="dxa" w:w="800"/>
            <w:tcBorders>
              <w:top w:val="none"/>
              <w:left w:val="single" w:color="B8894A" w:sz="24"/>
              <w:bottom w:val="none"/>
              <w:right w:val="none"/>
            </w:tcBorders>
            <w:shd w:fill="F5F0E0" w:color="auto" w:val="clear"/>
            <w:tcMar>
              <w:top w:type="dxa" w:w="120"/>
              <w:left w:type="dxa" w:w="200"/>
              <w:bottom w:type="dxa" w:w="120"/>
              <w:right w:type="dxa" w:w="100"/>
            </w:tcMar>
          </w:tcPr>
          <w:p>
            <w:pPr>
              <w:spacing w:after="0" w:before="0"/>
            </w:pPr>
            <w:r>
              <w:rPr>
                <w:rFonts w:ascii="Calibri" w:cs="Calibri" w:eastAsia="Calibri" w:hAnsi="Calibri"/>
                <w:b/>
                <w:bCs/>
                <w:color w:val="1E2761"/>
                <w:sz w:val="24"/>
                <w:szCs w:val="24"/>
              </w:rPr>
              <w:t xml:space="preserve">D-15</w:t>
            </w:r>
          </w:p>
        </w:tc>
        <w:tc>
          <w:tcPr>
            <w:tcW w:type="dxa" w:w="6800"/>
            <w:tcBorders>
              <w:top w:val="none"/>
              <w:left w:val="none"/>
              <w:bottom w:val="none"/>
              <w:right w:val="none"/>
            </w:tcBorders>
            <w:shd w:fill="F5F0E0" w:color="auto" w:val="clear"/>
            <w:tcMar>
              <w:top w:type="dxa" w:w="120"/>
              <w:left w:type="dxa" w:w="100"/>
              <w:bottom w:type="dxa" w:w="120"/>
              <w:right w:type="dxa" w:w="100"/>
            </w:tcMar>
          </w:tcPr>
          <w:p>
            <w:pPr>
              <w:spacing w:after="0" w:before="0"/>
            </w:pPr>
            <w:r>
              <w:rPr>
                <w:rFonts w:ascii="Calibri" w:cs="Calibri" w:eastAsia="Calibri" w:hAnsi="Calibri"/>
                <w:color w:val="1A1A1A"/>
                <w:sz w:val="22"/>
                <w:szCs w:val="22"/>
              </w:rPr>
              <w:t xml:space="preserve">Confirm Q2 2027 as legacy loyalty sunset date.</w:t>
            </w:r>
          </w:p>
        </w:tc>
        <w:tc>
          <w:tcPr>
            <w:tcW w:type="dxa" w:w="1560"/>
            <w:tcBorders>
              <w:top w:val="none"/>
              <w:left w:val="none"/>
              <w:bottom w:val="none"/>
              <w:right w:val="none"/>
            </w:tcBorders>
            <w:shd w:fill="F5F0E0" w:color="auto" w:val="clear"/>
            <w:tcMar>
              <w:top w:type="dxa" w:w="120"/>
              <w:left w:type="dxa" w:w="100"/>
              <w:bottom w:type="dxa" w:w="120"/>
              <w:right w:type="dxa" w:w="200"/>
            </w:tcMar>
          </w:tcPr>
          <w:p>
            <w:pPr>
              <w:spacing w:after="20" w:before="0"/>
            </w:pPr>
            <w:r>
              <w:rPr>
                <w:rFonts w:ascii="Calibri" w:cs="Calibri" w:eastAsia="Calibri" w:hAnsi="Calibri"/>
                <w:b/>
                <w:bCs/>
                <w:color w:val="1E2761"/>
                <w:sz w:val="18"/>
                <w:szCs w:val="18"/>
              </w:rPr>
              <w:t xml:space="preserve">CMO</w:t>
            </w:r>
          </w:p>
          <w:p>
            <w:pPr>
              <w:spacing w:after="0" w:before="0"/>
            </w:pPr>
            <w:r>
              <w:rPr>
                <w:rFonts w:ascii="Calibri" w:cs="Calibri" w:eastAsia="Calibri" w:hAnsi="Calibri"/>
                <w:i/>
                <w:iCs/>
                <w:color w:val="6B7280"/>
                <w:sz w:val="16"/>
                <w:szCs w:val="16"/>
              </w:rPr>
              <w:t xml:space="preserve">10 min</w:t>
            </w:r>
          </w:p>
        </w:tc>
      </w:tr>
      <w:tr>
        <w:tc>
          <w:tcPr>
            <w:tcW w:type="dxa" w:w="800"/>
            <w:tcBorders>
              <w:top w:val="none"/>
              <w:left w:val="single" w:color="B8894A" w:sz="24"/>
              <w:bottom w:val="none"/>
              <w:right w:val="none"/>
            </w:tcBorders>
            <w:shd w:fill="F5F0E0" w:color="auto" w:val="clear"/>
            <w:tcMar>
              <w:top w:type="dxa" w:w="120"/>
              <w:left w:type="dxa" w:w="200"/>
              <w:bottom w:type="dxa" w:w="120"/>
              <w:right w:type="dxa" w:w="100"/>
            </w:tcMar>
          </w:tcPr>
          <w:p>
            <w:pPr>
              <w:spacing w:after="0" w:before="0"/>
            </w:pPr>
            <w:r>
              <w:rPr>
                <w:rFonts w:ascii="Calibri" w:cs="Calibri" w:eastAsia="Calibri" w:hAnsi="Calibri"/>
                <w:b/>
                <w:bCs/>
                <w:color w:val="1E2761"/>
                <w:sz w:val="24"/>
                <w:szCs w:val="24"/>
              </w:rPr>
              <w:t xml:space="preserve">D-16</w:t>
            </w:r>
          </w:p>
        </w:tc>
        <w:tc>
          <w:tcPr>
            <w:tcW w:type="dxa" w:w="6800"/>
            <w:tcBorders>
              <w:top w:val="none"/>
              <w:left w:val="none"/>
              <w:bottom w:val="none"/>
              <w:right w:val="none"/>
            </w:tcBorders>
            <w:shd w:fill="F5F0E0" w:color="auto" w:val="clear"/>
            <w:tcMar>
              <w:top w:type="dxa" w:w="120"/>
              <w:left w:type="dxa" w:w="100"/>
              <w:bottom w:type="dxa" w:w="120"/>
              <w:right w:type="dxa" w:w="100"/>
            </w:tcMar>
          </w:tcPr>
          <w:p>
            <w:pPr>
              <w:spacing w:after="0" w:before="0"/>
            </w:pPr>
            <w:r>
              <w:rPr>
                <w:rFonts w:ascii="Calibri" w:cs="Calibri" w:eastAsia="Calibri" w:hAnsi="Calibri"/>
                <w:color w:val="1A1A1A"/>
                <w:sz w:val="22"/>
                <w:szCs w:val="22"/>
              </w:rPr>
              <w:t xml:space="preserve">Accept revised $172M NPV portfolio target (down from $180M).</w:t>
            </w:r>
          </w:p>
        </w:tc>
        <w:tc>
          <w:tcPr>
            <w:tcW w:type="dxa" w:w="1560"/>
            <w:tcBorders>
              <w:top w:val="none"/>
              <w:left w:val="none"/>
              <w:bottom w:val="none"/>
              <w:right w:val="none"/>
            </w:tcBorders>
            <w:shd w:fill="F5F0E0" w:color="auto" w:val="clear"/>
            <w:tcMar>
              <w:top w:type="dxa" w:w="120"/>
              <w:left w:type="dxa" w:w="100"/>
              <w:bottom w:type="dxa" w:w="120"/>
              <w:right w:type="dxa" w:w="200"/>
            </w:tcMar>
          </w:tcPr>
          <w:p>
            <w:pPr>
              <w:spacing w:after="20" w:before="0"/>
            </w:pPr>
            <w:r>
              <w:rPr>
                <w:rFonts w:ascii="Calibri" w:cs="Calibri" w:eastAsia="Calibri" w:hAnsi="Calibri"/>
                <w:b/>
                <w:bCs/>
                <w:color w:val="1E2761"/>
                <w:sz w:val="18"/>
                <w:szCs w:val="18"/>
              </w:rPr>
              <w:t xml:space="preserve">TMO Lead</w:t>
            </w:r>
          </w:p>
          <w:p>
            <w:pPr>
              <w:spacing w:after="0" w:before="0"/>
            </w:pPr>
            <w:r>
              <w:rPr>
                <w:rFonts w:ascii="Calibri" w:cs="Calibri" w:eastAsia="Calibri" w:hAnsi="Calibri"/>
                <w:i/>
                <w:iCs/>
                <w:color w:val="6B7280"/>
                <w:sz w:val="16"/>
                <w:szCs w:val="16"/>
              </w:rPr>
              <w:t xml:space="preserve">5 min</w:t>
            </w:r>
          </w:p>
        </w:tc>
      </w:tr>
    </w:tbl>
    <w:p>
      <w:pPr>
        <w:spacing w:after="60" w:before="240"/>
      </w:pPr>
      <w:r>
        <w:rPr>
          <w:rFonts w:ascii="Calibri" w:cs="Calibri" w:eastAsia="Calibri" w:hAnsi="Calibri"/>
          <w:b/>
          <w:bCs/>
          <w:color w:val="B8894A"/>
          <w:spacing w:val="40"/>
          <w:sz w:val="16"/>
          <w:szCs w:val="16"/>
        </w:rPr>
        <w:t xml:space="preserve">WHAT CHANGED THIS WEEK</w:t>
      </w:r>
    </w:p>
    <w:p>
      <w:pPr>
        <w:pStyle w:val="ListParagraph"/>
        <w:numPr>
          <w:ilvl w:val="0"/>
          <w:numId w:val="2"/>
        </w:numPr>
        <w:spacing w:after="60" w:before="0" w:line="280"/>
      </w:pPr>
      <w:r>
        <w:rPr>
          <w:rFonts w:ascii="Calibri" w:cs="Calibri" w:eastAsia="Calibri" w:hAnsi="Calibri"/>
          <w:b/>
          <w:bCs/>
          <w:color w:val="16A34A"/>
          <w:sz w:val="22"/>
          <w:szCs w:val="22"/>
        </w:rPr>
        <w:t xml:space="preserve">GREEN · </w:t>
      </w:r>
      <w:r>
        <w:rPr>
          <w:rFonts w:ascii="Calibri" w:cs="Calibri" w:eastAsia="Calibri" w:hAnsi="Calibri"/>
          <w:color w:val="1A1A1A"/>
          <w:sz w:val="22"/>
          <w:szCs w:val="22"/>
        </w:rPr>
        <w:t xml:space="preserve">Wave 1 vendor SOW ready to sign pending D-14. WMS cutover benefits confirmed at $8M run-rate.</w:t>
      </w:r>
    </w:p>
    <w:p>
      <w:pPr>
        <w:pStyle w:val="ListParagraph"/>
        <w:numPr>
          <w:ilvl w:val="0"/>
          <w:numId w:val="2"/>
        </w:numPr>
        <w:spacing w:after="60" w:before="0" w:line="280"/>
      </w:pPr>
      <w:r>
        <w:rPr>
          <w:rFonts w:ascii="Calibri" w:cs="Calibri" w:eastAsia="Calibri" w:hAnsi="Calibri"/>
          <w:b/>
          <w:bCs/>
          <w:color w:val="F59E0B"/>
          <w:sz w:val="22"/>
          <w:szCs w:val="22"/>
        </w:rPr>
        <w:t xml:space="preserve">AMBER · </w:t>
      </w:r>
      <w:r>
        <w:rPr>
          <w:rFonts w:ascii="Calibri" w:cs="Calibri" w:eastAsia="Calibri" w:hAnsi="Calibri"/>
          <w:color w:val="1A1A1A"/>
          <w:sz w:val="22"/>
          <w:szCs w:val="22"/>
        </w:rPr>
        <w:t xml:space="preserve">Loyalty cutover plan now 8 weeks behind. Second week without D-15 resolution. Marketing and Digital have converged on the ownership split; plan drafted, pending sunset date.</w:t>
      </w:r>
    </w:p>
    <w:p>
      <w:pPr>
        <w:pStyle w:val="ListParagraph"/>
        <w:numPr>
          <w:ilvl w:val="0"/>
          <w:numId w:val="2"/>
        </w:numPr>
        <w:spacing w:after="60" w:before="0" w:line="280"/>
      </w:pPr>
      <w:r>
        <w:rPr>
          <w:rFonts w:ascii="Calibri" w:cs="Calibri" w:eastAsia="Calibri" w:hAnsi="Calibri"/>
          <w:b/>
          <w:bCs/>
          <w:color w:val="DC2626"/>
          <w:sz w:val="22"/>
          <w:szCs w:val="22"/>
        </w:rPr>
        <w:t xml:space="preserve">RED · </w:t>
      </w:r>
      <w:r>
        <w:rPr>
          <w:rFonts w:ascii="Calibri" w:cs="Calibri" w:eastAsia="Calibri" w:hAnsi="Calibri"/>
          <w:color w:val="1A1A1A"/>
          <w:sz w:val="22"/>
          <w:szCs w:val="22"/>
        </w:rPr>
        <w:t xml:space="preserve">CDP vendor missed API delivery date by 6 weeks. Contract remedies invoked; alt-vendor evaluation initiated as fallback. Weekly delivery review continuing.</w:t>
      </w:r>
    </w:p>
    <w:p>
      <w:pPr>
        <w:spacing w:after="60" w:before="240"/>
      </w:pPr>
      <w:r>
        <w:rPr>
          <w:rFonts w:ascii="Calibri" w:cs="Calibri" w:eastAsia="Calibri" w:hAnsi="Calibri"/>
          <w:b/>
          <w:bCs/>
          <w:color w:val="B8894A"/>
          <w:spacing w:val="40"/>
          <w:sz w:val="16"/>
          <w:szCs w:val="16"/>
        </w:rPr>
        <w:t xml:space="preserve">IF D-15 SLIPS AGAIN</w:t>
      </w:r>
    </w:p>
    <w:p>
      <w:pPr>
        <w:spacing w:after="120" w:before="0" w:line="300"/>
      </w:pPr>
      <w:r>
        <w:rPr>
          <w:rFonts w:ascii="Calibri" w:cs="Calibri" w:eastAsia="Calibri" w:hAnsi="Calibri"/>
          <w:color w:val="1A1A1A"/>
          <w:sz w:val="22"/>
          <w:szCs w:val="22"/>
        </w:rPr>
        <w:t xml:space="preserve">The CDP and Loyalty workstreams require formal re-baseline. Estimated impact: +$3M dual-run cost, ~$4M NPV erosion, 12-week schedule slip on loyalty benefits. TMO strongly recommends resolving Monday even if the answer is Q4 2027 rather than Q2 2027. The compounding cost of deferral now exceeds the difference between the two dates.</w:t>
      </w:r>
    </w:p>
    <w:p>
      <w:pPr>
        <w:spacing w:after="60" w:before="240"/>
      </w:pPr>
      <w:r>
        <w:rPr>
          <w:rFonts w:ascii="Calibri" w:cs="Calibri" w:eastAsia="Calibri" w:hAnsi="Calibri"/>
          <w:b/>
          <w:bCs/>
          <w:color w:val="B8894A"/>
          <w:spacing w:val="40"/>
          <w:sz w:val="16"/>
          <w:szCs w:val="16"/>
        </w:rPr>
        <w:t xml:space="preserve">NOT ON THE AGENDA BUT WORTH 30 SECONDS</w:t>
      </w:r>
    </w:p>
    <w:p>
      <w:pPr>
        <w:spacing w:after="120" w:before="0" w:line="300"/>
      </w:pPr>
      <w:r>
        <w:rPr>
          <w:rFonts w:ascii="Calibri" w:cs="Calibri" w:eastAsia="Calibri" w:hAnsi="Calibri"/>
          <w:color w:val="1A1A1A"/>
          <w:sz w:val="22"/>
          <w:szCs w:val="22"/>
        </w:rPr>
        <w:t xml:space="preserve">Merchant Tools OCM survey (last week) shows field-change fatigue 18 percentage points above the program threshold. Working with HR partners on a targeted response. No decision required Monday, but expect a discussion item at Q4 SteerCo.</w:t>
      </w:r>
    </w:p>
    <w:p>
      <w:pPr>
        <w:spacing w:after="60" w:before="240"/>
      </w:pPr>
      <w:r>
        <w:rPr>
          <w:rFonts w:ascii="Calibri" w:cs="Calibri" w:eastAsia="Calibri" w:hAnsi="Calibri"/>
          <w:b/>
          <w:bCs/>
          <w:color w:val="B8894A"/>
          <w:spacing w:val="40"/>
          <w:sz w:val="16"/>
          <w:szCs w:val="16"/>
        </w:rPr>
        <w:t xml:space="preserve">ATTACHMENTS (REFERENCED BY LINK)</w:t>
      </w:r>
    </w:p>
    <w:p>
      <w:pPr>
        <w:pStyle w:val="ListParagraph"/>
        <w:numPr>
          <w:ilvl w:val="0"/>
          <w:numId w:val="2"/>
        </w:numPr>
        <w:spacing w:after="60" w:before="0" w:line="280"/>
      </w:pPr>
      <w:r>
        <w:rPr>
          <w:rFonts w:ascii="Calibri" w:cs="Calibri" w:eastAsia="Calibri" w:hAnsi="Calibri"/>
          <w:color w:val="1A1A1A"/>
          <w:sz w:val="22"/>
          <w:szCs w:val="22"/>
        </w:rPr>
        <w:t xml:space="preserve">SteerCo deck, full 10-slide version circulated with EC pre-brief</w:t>
      </w:r>
    </w:p>
    <w:p>
      <w:pPr>
        <w:pStyle w:val="ListParagraph"/>
        <w:numPr>
          <w:ilvl w:val="0"/>
          <w:numId w:val="2"/>
        </w:numPr>
        <w:spacing w:after="60" w:before="0" w:line="280"/>
      </w:pPr>
      <w:r>
        <w:rPr>
          <w:rFonts w:ascii="Calibri" w:cs="Calibri" w:eastAsia="Calibri" w:hAnsi="Calibri"/>
          <w:color w:val="1A1A1A"/>
          <w:sz w:val="22"/>
          <w:szCs w:val="22"/>
        </w:rPr>
        <w:t xml:space="preserve">Portfolio tracker workbook (dashboard, risk log, value tracking)</w:t>
      </w:r>
    </w:p>
    <w:p>
      <w:pPr>
        <w:pStyle w:val="ListParagraph"/>
        <w:numPr>
          <w:ilvl w:val="0"/>
          <w:numId w:val="2"/>
        </w:numPr>
        <w:spacing w:after="60" w:before="0" w:line="280"/>
      </w:pPr>
      <w:r>
        <w:rPr>
          <w:rFonts w:ascii="Calibri" w:cs="Calibri" w:eastAsia="Calibri" w:hAnsi="Calibri"/>
          <w:color w:val="1A1A1A"/>
          <w:sz w:val="22"/>
          <w:szCs w:val="22"/>
        </w:rPr>
        <w:t xml:space="preserve">D-14 vendor SOW draft, held by SVP Ops office</w:t>
      </w:r>
    </w:p>
    <w:p>
      <w:pPr>
        <w:pBdr>
          <w:bottom w:val="single" w:color="B8894A" w:sz="6" w:space="4"/>
        </w:pBdr>
        <w:spacing w:after="200" w:before="60"/>
      </w:pPr>
      <w:r>
        <w:t xml:space="preserve"/>
      </w:r>
    </w:p>
    <w:p>
      <w:pPr>
        <w:spacing w:after="0" w:before="0"/>
      </w:pPr>
      <w:r>
        <w:rPr>
          <w:rFonts w:ascii="Calibri" w:cs="Calibri" w:eastAsia="Calibri" w:hAnsi="Calibri"/>
          <w:i/>
          <w:iCs/>
          <w:color w:val="6B7280"/>
          <w:sz w:val="18"/>
          <w:szCs w:val="18"/>
        </w:rPr>
        <w:t xml:space="preserve">Prepared by </w:t>
      </w:r>
      <w:r>
        <w:rPr>
          <w:rFonts w:ascii="Calibri" w:cs="Calibri" w:eastAsia="Calibri" w:hAnsi="Calibri"/>
          <w:b/>
          <w:bCs/>
          <w:i/>
          <w:iCs/>
          <w:color w:val="1E2761"/>
          <w:sz w:val="18"/>
          <w:szCs w:val="18"/>
        </w:rPr>
        <w:t xml:space="preserve">Transformation Management Office</w:t>
      </w:r>
      <w:r>
        <w:rPr>
          <w:rFonts w:ascii="Calibri" w:cs="Calibri" w:eastAsia="Calibri" w:hAnsi="Calibri"/>
          <w:i/>
          <w:iCs/>
          <w:color w:val="6B7280"/>
          <w:sz w:val="18"/>
          <w:szCs w:val="18"/>
        </w:rPr>
        <w:t xml:space="preserve">  ·  Next WED memo: Friday, 24 October</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 Pre-Read · Week of 20 October 2026</dc:title>
  <dc:creator>Anup Rao, TMO</dc:creator>
  <cp:lastModifiedBy>Un-named</cp:lastModifiedBy>
  <cp:revision>1</cp:revision>
  <dcterms:created xsi:type="dcterms:W3CDTF">2026-07-22T16:33:11.265Z</dcterms:created>
  <dcterms:modified xsi:type="dcterms:W3CDTF">2026-07-22T16:33:11.265Z</dcterms:modified>
</cp:coreProperties>
</file>

<file path=docProps/custom.xml><?xml version="1.0" encoding="utf-8"?>
<Properties xmlns="http://schemas.openxmlformats.org/officeDocument/2006/custom-properties" xmlns:vt="http://schemas.openxmlformats.org/officeDocument/2006/docPropsVTypes"/>
</file>